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eastAsia="方正小标宋_GBK"/>
          <w:snapToGrid w:val="0"/>
          <w:sz w:val="40"/>
          <w:szCs w:val="40"/>
        </w:rPr>
      </w:pPr>
      <w:r>
        <w:rPr>
          <w:rFonts w:eastAsia="方正小标宋_GBK"/>
          <w:snapToGrid w:val="0"/>
          <w:sz w:val="40"/>
          <w:szCs w:val="40"/>
        </w:rPr>
        <w:t>广西赋予乡镇（街道）部分</w:t>
      </w:r>
      <w:r>
        <w:rPr>
          <w:rFonts w:hint="eastAsia" w:eastAsia="方正小标宋_GBK"/>
          <w:snapToGrid w:val="0"/>
          <w:sz w:val="40"/>
          <w:szCs w:val="40"/>
          <w:lang w:eastAsia="zh-CN"/>
        </w:rPr>
        <w:t>涉林</w:t>
      </w:r>
      <w:r>
        <w:rPr>
          <w:rFonts w:eastAsia="方正小标宋_GBK"/>
          <w:snapToGrid w:val="0"/>
          <w:sz w:val="40"/>
          <w:szCs w:val="40"/>
        </w:rPr>
        <w:t>县级管理权限</w:t>
      </w:r>
      <w:r>
        <w:rPr>
          <w:rFonts w:hint="eastAsia" w:eastAsia="方正小标宋_GBK"/>
          <w:snapToGrid w:val="0"/>
          <w:sz w:val="40"/>
          <w:szCs w:val="40"/>
        </w:rPr>
        <w:t>清单（第一批）</w:t>
      </w:r>
    </w:p>
    <w:tbl>
      <w:tblPr>
        <w:tblStyle w:val="4"/>
        <w:tblpPr w:leftFromText="180" w:rightFromText="180" w:vertAnchor="text" w:horzAnchor="page" w:tblpX="1876" w:tblpY="239"/>
        <w:tblOverlap w:val="never"/>
        <w:tblW w:w="13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28"/>
        <w:gridCol w:w="903"/>
        <w:gridCol w:w="486"/>
        <w:gridCol w:w="1264"/>
        <w:gridCol w:w="6979"/>
        <w:gridCol w:w="850"/>
        <w:gridCol w:w="851"/>
        <w:gridCol w:w="746"/>
        <w:gridCol w:w="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blHeader/>
        </w:trPr>
        <w:tc>
          <w:tcPr>
            <w:tcW w:w="428" w:type="dxa"/>
            <w:vAlign w:val="center"/>
          </w:tcPr>
          <w:p>
            <w:pPr>
              <w:widowControl/>
              <w:adjustRightInd w:val="0"/>
              <w:snapToGrid w:val="0"/>
              <w:jc w:val="center"/>
              <w:rPr>
                <w:rFonts w:eastAsia="黑体"/>
                <w:kern w:val="0"/>
                <w:sz w:val="24"/>
              </w:rPr>
            </w:pPr>
            <w:r>
              <w:rPr>
                <w:rFonts w:eastAsia="黑体"/>
                <w:kern w:val="0"/>
                <w:sz w:val="24"/>
              </w:rPr>
              <w:t>序号</w:t>
            </w:r>
          </w:p>
        </w:tc>
        <w:tc>
          <w:tcPr>
            <w:tcW w:w="903" w:type="dxa"/>
            <w:vAlign w:val="center"/>
          </w:tcPr>
          <w:p>
            <w:pPr>
              <w:widowControl/>
              <w:adjustRightInd w:val="0"/>
              <w:snapToGrid w:val="0"/>
              <w:jc w:val="center"/>
              <w:rPr>
                <w:rFonts w:eastAsia="黑体"/>
                <w:kern w:val="0"/>
                <w:sz w:val="24"/>
              </w:rPr>
            </w:pPr>
            <w:r>
              <w:rPr>
                <w:rFonts w:eastAsia="黑体"/>
                <w:kern w:val="0"/>
                <w:sz w:val="24"/>
              </w:rPr>
              <w:t>县级主管行政机关</w:t>
            </w:r>
          </w:p>
        </w:tc>
        <w:tc>
          <w:tcPr>
            <w:tcW w:w="486" w:type="dxa"/>
            <w:vAlign w:val="center"/>
          </w:tcPr>
          <w:p>
            <w:pPr>
              <w:widowControl/>
              <w:adjustRightInd w:val="0"/>
              <w:snapToGrid w:val="0"/>
              <w:jc w:val="center"/>
              <w:rPr>
                <w:rFonts w:eastAsia="黑体"/>
                <w:kern w:val="0"/>
                <w:sz w:val="24"/>
              </w:rPr>
            </w:pPr>
            <w:r>
              <w:rPr>
                <w:rFonts w:eastAsia="黑体"/>
                <w:kern w:val="0"/>
                <w:sz w:val="24"/>
              </w:rPr>
              <w:t>权力类型</w:t>
            </w:r>
          </w:p>
        </w:tc>
        <w:tc>
          <w:tcPr>
            <w:tcW w:w="1264" w:type="dxa"/>
            <w:vAlign w:val="center"/>
          </w:tcPr>
          <w:p>
            <w:pPr>
              <w:widowControl/>
              <w:adjustRightInd w:val="0"/>
              <w:snapToGrid w:val="0"/>
              <w:jc w:val="center"/>
              <w:rPr>
                <w:rFonts w:eastAsia="黑体"/>
                <w:kern w:val="0"/>
                <w:sz w:val="24"/>
              </w:rPr>
            </w:pPr>
            <w:r>
              <w:rPr>
                <w:rFonts w:eastAsia="黑体"/>
                <w:kern w:val="0"/>
                <w:sz w:val="24"/>
              </w:rPr>
              <w:t>权力名称</w:t>
            </w:r>
          </w:p>
        </w:tc>
        <w:tc>
          <w:tcPr>
            <w:tcW w:w="6979" w:type="dxa"/>
            <w:vAlign w:val="center"/>
          </w:tcPr>
          <w:p>
            <w:pPr>
              <w:widowControl/>
              <w:adjustRightInd w:val="0"/>
              <w:snapToGrid w:val="0"/>
              <w:jc w:val="center"/>
              <w:rPr>
                <w:rFonts w:eastAsia="黑体"/>
                <w:kern w:val="0"/>
                <w:sz w:val="24"/>
              </w:rPr>
            </w:pPr>
            <w:r>
              <w:rPr>
                <w:rFonts w:eastAsia="黑体"/>
                <w:kern w:val="0"/>
                <w:sz w:val="24"/>
              </w:rPr>
              <w:t>设定依据</w:t>
            </w:r>
            <w:bookmarkStart w:id="0" w:name="_GoBack"/>
            <w:bookmarkEnd w:id="0"/>
          </w:p>
        </w:tc>
        <w:tc>
          <w:tcPr>
            <w:tcW w:w="850" w:type="dxa"/>
            <w:vAlign w:val="center"/>
          </w:tcPr>
          <w:p>
            <w:pPr>
              <w:widowControl/>
              <w:adjustRightInd w:val="0"/>
              <w:snapToGrid w:val="0"/>
              <w:jc w:val="center"/>
              <w:rPr>
                <w:rFonts w:eastAsia="黑体"/>
                <w:kern w:val="0"/>
                <w:sz w:val="24"/>
              </w:rPr>
            </w:pPr>
            <w:r>
              <w:rPr>
                <w:rFonts w:eastAsia="黑体"/>
                <w:kern w:val="0"/>
                <w:sz w:val="24"/>
              </w:rPr>
              <w:t>原实施</w:t>
            </w:r>
            <w:r>
              <w:rPr>
                <w:rFonts w:eastAsia="黑体"/>
                <w:kern w:val="0"/>
                <w:sz w:val="24"/>
              </w:rPr>
              <w:br w:type="textWrapping"/>
            </w:r>
            <w:r>
              <w:rPr>
                <w:rFonts w:eastAsia="黑体"/>
                <w:kern w:val="0"/>
                <w:sz w:val="24"/>
              </w:rPr>
              <w:t>主体</w:t>
            </w:r>
          </w:p>
        </w:tc>
        <w:tc>
          <w:tcPr>
            <w:tcW w:w="851" w:type="dxa"/>
            <w:vAlign w:val="center"/>
          </w:tcPr>
          <w:p>
            <w:pPr>
              <w:widowControl/>
              <w:adjustRightInd w:val="0"/>
              <w:snapToGrid w:val="0"/>
              <w:jc w:val="center"/>
              <w:rPr>
                <w:rFonts w:eastAsia="黑体"/>
                <w:kern w:val="0"/>
                <w:sz w:val="24"/>
              </w:rPr>
            </w:pPr>
            <w:r>
              <w:rPr>
                <w:rFonts w:eastAsia="黑体"/>
                <w:kern w:val="0"/>
                <w:sz w:val="24"/>
              </w:rPr>
              <w:t>赋权后的执法主体</w:t>
            </w:r>
          </w:p>
        </w:tc>
        <w:tc>
          <w:tcPr>
            <w:tcW w:w="746" w:type="dxa"/>
            <w:vAlign w:val="center"/>
          </w:tcPr>
          <w:p>
            <w:pPr>
              <w:widowControl/>
              <w:adjustRightInd w:val="0"/>
              <w:snapToGrid w:val="0"/>
              <w:jc w:val="center"/>
              <w:rPr>
                <w:rFonts w:eastAsia="黑体"/>
                <w:kern w:val="0"/>
                <w:sz w:val="24"/>
              </w:rPr>
            </w:pPr>
            <w:r>
              <w:rPr>
                <w:rFonts w:eastAsia="黑体"/>
                <w:kern w:val="0"/>
                <w:sz w:val="24"/>
              </w:rPr>
              <w:t>赋权后的行政复议机关</w:t>
            </w:r>
          </w:p>
        </w:tc>
        <w:tc>
          <w:tcPr>
            <w:tcW w:w="591" w:type="dxa"/>
            <w:vAlign w:val="center"/>
          </w:tcPr>
          <w:p>
            <w:pPr>
              <w:widowControl/>
              <w:adjustRightInd w:val="0"/>
              <w:snapToGrid w:val="0"/>
              <w:jc w:val="center"/>
              <w:rPr>
                <w:rFonts w:hint="eastAsia" w:eastAsia="黑体"/>
                <w:kern w:val="0"/>
                <w:sz w:val="24"/>
                <w:lang w:eastAsia="zh-CN"/>
              </w:rPr>
            </w:pPr>
            <w:r>
              <w:rPr>
                <w:rFonts w:hint="eastAsia" w:eastAsia="黑体"/>
                <w:kern w:val="0"/>
                <w:sz w:val="24"/>
                <w:lang w:eastAsia="zh-CN"/>
              </w:rPr>
              <w:t>受理业务机构及办公场所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595" w:hRule="atLeast"/>
        </w:trPr>
        <w:tc>
          <w:tcPr>
            <w:tcW w:w="4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eastAsia="仿宋_GB2312"/>
                <w:kern w:val="0"/>
                <w:sz w:val="20"/>
                <w:szCs w:val="20"/>
                <w:lang w:val="en-US" w:eastAsia="zh-CN"/>
              </w:rPr>
            </w:pPr>
            <w:r>
              <w:rPr>
                <w:rFonts w:hint="eastAsia" w:ascii="仿宋_GB2312" w:eastAsia="仿宋_GB2312"/>
                <w:kern w:val="0"/>
                <w:sz w:val="20"/>
                <w:szCs w:val="20"/>
                <w:lang w:val="en-US" w:eastAsia="zh-CN"/>
              </w:rPr>
              <w:t>1</w:t>
            </w:r>
          </w:p>
        </w:tc>
        <w:tc>
          <w:tcPr>
            <w:tcW w:w="9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kern w:val="0"/>
                <w:sz w:val="20"/>
                <w:szCs w:val="20"/>
              </w:rPr>
            </w:pPr>
            <w:r>
              <w:rPr>
                <w:rFonts w:hint="eastAsia" w:ascii="仿宋_GB2312" w:eastAsia="仿宋_GB2312"/>
                <w:kern w:val="0"/>
                <w:sz w:val="20"/>
                <w:szCs w:val="20"/>
              </w:rPr>
              <w:t>林业行政主管部门</w:t>
            </w:r>
          </w:p>
        </w:tc>
        <w:tc>
          <w:tcPr>
            <w:tcW w:w="4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kern w:val="0"/>
                <w:sz w:val="20"/>
                <w:szCs w:val="20"/>
              </w:rPr>
            </w:pPr>
            <w:r>
              <w:rPr>
                <w:rFonts w:hint="eastAsia" w:ascii="仿宋_GB2312" w:eastAsia="仿宋_GB2312"/>
                <w:kern w:val="0"/>
                <w:sz w:val="20"/>
                <w:szCs w:val="20"/>
              </w:rPr>
              <w:t>行政处罚</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eastAsia="仿宋_GB2312"/>
                <w:kern w:val="0"/>
                <w:sz w:val="20"/>
                <w:szCs w:val="20"/>
              </w:rPr>
            </w:pPr>
            <w:r>
              <w:rPr>
                <w:rFonts w:hint="eastAsia" w:ascii="仿宋_GB2312" w:eastAsia="仿宋_GB2312"/>
                <w:kern w:val="0"/>
                <w:sz w:val="20"/>
                <w:szCs w:val="20"/>
              </w:rPr>
              <w:t xml:space="preserve">对滥伐森林或者其他林木的处罚 </w:t>
            </w:r>
          </w:p>
        </w:tc>
        <w:tc>
          <w:tcPr>
            <w:tcW w:w="69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【法律】《中华人民共和国森林法》</w:t>
            </w:r>
            <w:r>
              <w:rPr>
                <w:rFonts w:hint="eastAsia" w:ascii="仿宋_GB2312" w:hAnsi="仿宋_GB2312" w:eastAsia="仿宋_GB2312" w:cs="仿宋_GB2312"/>
                <w:i w:val="0"/>
                <w:caps w:val="0"/>
                <w:color w:val="000000"/>
                <w:spacing w:val="0"/>
                <w:sz w:val="21"/>
                <w:szCs w:val="21"/>
                <w:shd w:val="clear" w:fill="FFFFFF"/>
              </w:rPr>
              <w:t>第七十六条</w:t>
            </w:r>
            <w:r>
              <w:rPr>
                <w:rFonts w:hint="eastAsia" w:ascii="仿宋_GB2312" w:hAnsi="仿宋_GB2312" w:eastAsia="仿宋_GB2312" w:cs="仿宋_GB2312"/>
                <w:kern w:val="0"/>
                <w:sz w:val="21"/>
                <w:szCs w:val="21"/>
              </w:rPr>
              <w:t>第二款</w:t>
            </w:r>
            <w:r>
              <w:rPr>
                <w:rFonts w:hint="eastAsia" w:ascii="仿宋_GB2312" w:hAnsi="仿宋_GB2312" w:eastAsia="仿宋_GB2312" w:cs="仿宋_GB2312"/>
                <w:i w:val="0"/>
                <w:caps w:val="0"/>
                <w:color w:val="000000"/>
                <w:spacing w:val="0"/>
                <w:sz w:val="21"/>
                <w:szCs w:val="21"/>
                <w:shd w:val="clear" w:fill="FFFFFF"/>
              </w:rPr>
              <w:t>滥伐林木的，由县级以上人民政府林业主管部门责令限期在原地或者异地补种滥伐株数一倍以上三倍以下的树木，可以处滥伐林木价值三倍以上五倍以下的罚款。</w:t>
            </w:r>
          </w:p>
          <w:p>
            <w:pPr>
              <w:widowControl/>
              <w:adjustRightInd w:val="0"/>
              <w:snapToGrid w:val="0"/>
              <w:rPr>
                <w:rFonts w:ascii="仿宋_GB2312" w:eastAsia="仿宋_GB2312"/>
                <w:kern w:val="0"/>
                <w:sz w:val="20"/>
                <w:szCs w:val="20"/>
              </w:rPr>
            </w:pPr>
            <w:r>
              <w:rPr>
                <w:rFonts w:hint="eastAsia" w:ascii="仿宋_GB2312" w:hAnsi="仿宋_GB2312" w:eastAsia="仿宋_GB2312" w:cs="仿宋_GB2312"/>
                <w:kern w:val="0"/>
                <w:sz w:val="21"/>
                <w:szCs w:val="21"/>
              </w:rPr>
              <w:t xml:space="preserve">【行政法规】《中华人民共和国森林法实施条例》第三十九条第一、二款 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eastAsia="仿宋_GB2312"/>
                <w:kern w:val="0"/>
                <w:sz w:val="20"/>
                <w:szCs w:val="20"/>
              </w:rPr>
            </w:pPr>
            <w:r>
              <w:rPr>
                <w:rFonts w:hint="eastAsia" w:ascii="仿宋_GB2312" w:eastAsia="仿宋_GB2312"/>
                <w:kern w:val="0"/>
                <w:sz w:val="20"/>
                <w:szCs w:val="20"/>
              </w:rPr>
              <w:t>县级林业行政主管部门</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eastAsia="仿宋_GB2312"/>
                <w:kern w:val="0"/>
                <w:sz w:val="20"/>
                <w:szCs w:val="20"/>
              </w:rPr>
            </w:pPr>
            <w:r>
              <w:rPr>
                <w:rFonts w:hint="eastAsia" w:ascii="仿宋_GB2312" w:eastAsia="仿宋_GB2312"/>
                <w:kern w:val="0"/>
                <w:sz w:val="20"/>
                <w:szCs w:val="20"/>
              </w:rPr>
              <w:t>乡镇人民政府（街道办事处）</w:t>
            </w:r>
          </w:p>
        </w:tc>
        <w:tc>
          <w:tcPr>
            <w:tcW w:w="7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eastAsia="仿宋_GB2312"/>
                <w:kern w:val="0"/>
                <w:sz w:val="20"/>
                <w:szCs w:val="20"/>
              </w:rPr>
            </w:pPr>
            <w:r>
              <w:rPr>
                <w:rFonts w:hint="eastAsia" w:ascii="仿宋_GB2312" w:eastAsia="仿宋_GB2312"/>
                <w:kern w:val="0"/>
                <w:sz w:val="20"/>
                <w:szCs w:val="20"/>
              </w:rPr>
              <w:t>县级人民政府</w:t>
            </w:r>
          </w:p>
        </w:tc>
        <w:tc>
          <w:tcPr>
            <w:tcW w:w="5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eastAsia="仿宋_GB2312"/>
                <w:kern w:val="0"/>
                <w:sz w:val="20"/>
                <w:szCs w:val="20"/>
                <w:lang w:eastAsia="zh-CN"/>
              </w:rPr>
            </w:pPr>
            <w:r>
              <w:rPr>
                <w:rFonts w:hint="eastAsia" w:ascii="仿宋_GB2312" w:eastAsia="仿宋_GB2312"/>
                <w:kern w:val="0"/>
                <w:sz w:val="20"/>
                <w:szCs w:val="20"/>
                <w:lang w:eastAsia="zh-CN"/>
              </w:rPr>
              <w:t>各乡镇农业农村服务中心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896" w:hRule="atLeast"/>
        </w:trPr>
        <w:tc>
          <w:tcPr>
            <w:tcW w:w="4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eastAsia="仿宋_GB2312"/>
                <w:kern w:val="0"/>
                <w:sz w:val="20"/>
                <w:szCs w:val="20"/>
                <w:lang w:val="en-US" w:eastAsia="zh-CN"/>
              </w:rPr>
            </w:pPr>
            <w:r>
              <w:rPr>
                <w:rFonts w:hint="eastAsia" w:ascii="仿宋_GB2312" w:eastAsia="仿宋_GB2312"/>
                <w:kern w:val="0"/>
                <w:sz w:val="20"/>
                <w:szCs w:val="20"/>
                <w:lang w:val="en-US" w:eastAsia="zh-CN"/>
              </w:rPr>
              <w:t>2</w:t>
            </w:r>
          </w:p>
        </w:tc>
        <w:tc>
          <w:tcPr>
            <w:tcW w:w="9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kern w:val="0"/>
                <w:sz w:val="20"/>
                <w:szCs w:val="20"/>
              </w:rPr>
            </w:pPr>
            <w:r>
              <w:rPr>
                <w:rFonts w:hint="eastAsia" w:ascii="仿宋_GB2312" w:eastAsia="仿宋_GB2312"/>
                <w:kern w:val="0"/>
                <w:sz w:val="20"/>
                <w:szCs w:val="20"/>
              </w:rPr>
              <w:t>林业行政主管部门</w:t>
            </w:r>
          </w:p>
        </w:tc>
        <w:tc>
          <w:tcPr>
            <w:tcW w:w="4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kern w:val="0"/>
                <w:sz w:val="20"/>
                <w:szCs w:val="20"/>
              </w:rPr>
            </w:pPr>
            <w:r>
              <w:rPr>
                <w:rFonts w:hint="eastAsia" w:ascii="仿宋_GB2312" w:eastAsia="仿宋_GB2312"/>
                <w:kern w:val="0"/>
                <w:sz w:val="20"/>
                <w:szCs w:val="20"/>
              </w:rPr>
              <w:t>行政强制</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eastAsia="仿宋_GB2312"/>
                <w:kern w:val="0"/>
                <w:sz w:val="20"/>
                <w:szCs w:val="20"/>
              </w:rPr>
            </w:pPr>
            <w:r>
              <w:rPr>
                <w:rFonts w:hint="eastAsia" w:ascii="仿宋_GB2312" w:eastAsia="仿宋_GB2312"/>
                <w:kern w:val="0"/>
                <w:sz w:val="20"/>
                <w:szCs w:val="20"/>
              </w:rPr>
              <w:t>代为补种树木</w:t>
            </w:r>
          </w:p>
        </w:tc>
        <w:tc>
          <w:tcPr>
            <w:tcW w:w="6979" w:type="dxa"/>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30" w:lineRule="atLeast"/>
              <w:ind w:left="0" w:right="0" w:firstLine="525"/>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kern w:val="0"/>
                <w:sz w:val="21"/>
                <w:szCs w:val="21"/>
              </w:rPr>
              <w:t>【法律】《中华人民共和国森林法》</w:t>
            </w:r>
            <w:r>
              <w:rPr>
                <w:rFonts w:hint="eastAsia" w:ascii="仿宋_GB2312" w:hAnsi="仿宋_GB2312" w:eastAsia="仿宋_GB2312" w:cs="仿宋_GB2312"/>
                <w:i w:val="0"/>
                <w:caps w:val="0"/>
                <w:color w:val="000000"/>
                <w:spacing w:val="0"/>
                <w:sz w:val="21"/>
                <w:szCs w:val="21"/>
                <w:shd w:val="clear" w:fill="FFFFFF"/>
              </w:rPr>
              <w:t>第七十六条　盗伐林木的，由县级以上人民政府林业主管部门责令限期在原地或者异地补种盗伐株数一倍以上五倍以下的树木，并处盗伐林木价值五倍以上十倍以下的罚款。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30" w:lineRule="atLeast"/>
              <w:ind w:left="0" w:right="0" w:firstLine="525"/>
              <w:rPr>
                <w:rFonts w:hint="eastAsia" w:ascii="仿宋_GB2312" w:hAnsi="仿宋_GB2312" w:eastAsia="仿宋_GB2312" w:cs="仿宋_GB2312"/>
                <w:i w:val="0"/>
                <w:caps w:val="0"/>
                <w:color w:val="000000"/>
                <w:spacing w:val="0"/>
                <w:sz w:val="21"/>
                <w:szCs w:val="21"/>
                <w:shd w:val="clear" w:fill="FFFFFF"/>
              </w:rPr>
            </w:pPr>
            <w:r>
              <w:rPr>
                <w:rFonts w:hint="eastAsia" w:ascii="仿宋_GB2312" w:hAnsi="仿宋_GB2312" w:eastAsia="仿宋_GB2312" w:cs="仿宋_GB2312"/>
                <w:i w:val="0"/>
                <w:caps w:val="0"/>
                <w:color w:val="000000"/>
                <w:spacing w:val="0"/>
                <w:sz w:val="21"/>
                <w:szCs w:val="21"/>
                <w:shd w:val="clear" w:fill="FFFFFF"/>
              </w:rPr>
              <w:t>滥伐林木的，由县级以上人民政府林业主管部门责令限期在原地或者异地补种滥伐株数一倍以上三倍以下的树木，可以处滥伐林木价值三倍以上五倍以下的罚款。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30" w:lineRule="atLeast"/>
              <w:ind w:left="0" w:right="0" w:firstLine="525"/>
              <w:rPr>
                <w:rFonts w:hint="eastAsia" w:ascii="仿宋_GB2312" w:hAnsi="仿宋_GB2312" w:eastAsia="仿宋_GB2312" w:cs="仿宋_GB2312"/>
                <w:i w:val="0"/>
                <w:caps w:val="0"/>
                <w:color w:val="000000"/>
                <w:spacing w:val="0"/>
                <w:kern w:val="0"/>
                <w:sz w:val="21"/>
                <w:szCs w:val="21"/>
                <w:shd w:val="clear" w:fill="FFFFFF"/>
                <w:lang w:val="en-US" w:eastAsia="zh-CN" w:bidi="ar"/>
              </w:rPr>
            </w:pPr>
            <w:r>
              <w:rPr>
                <w:rFonts w:hint="eastAsia" w:ascii="仿宋_GB2312" w:hAnsi="仿宋_GB2312" w:eastAsia="仿宋_GB2312" w:cs="仿宋_GB2312"/>
                <w:i w:val="0"/>
                <w:caps w:val="0"/>
                <w:color w:val="000000"/>
                <w:spacing w:val="0"/>
                <w:kern w:val="0"/>
                <w:sz w:val="21"/>
                <w:szCs w:val="21"/>
                <w:shd w:val="clear" w:fill="FFFFFF"/>
                <w:lang w:val="en-US" w:eastAsia="zh-CN" w:bidi="ar"/>
              </w:rPr>
              <w:t>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30" w:lineRule="atLeast"/>
              <w:ind w:right="0" w:firstLine="420" w:firstLineChars="2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i w:val="0"/>
                <w:caps w:val="0"/>
                <w:color w:val="000000"/>
                <w:spacing w:val="0"/>
                <w:kern w:val="0"/>
                <w:sz w:val="21"/>
                <w:szCs w:val="21"/>
                <w:shd w:val="clear" w:fill="FFFFFF"/>
                <w:lang w:val="en-US" w:eastAsia="zh-CN" w:bidi="ar"/>
              </w:rPr>
              <w:t>违反本法规定，在幼林地砍柴、毁苗、放牧造成林木毁坏的，由县级以上人民政府林业主管部门责令停止违法行为，限期在原地或者异地补种毁坏株数一倍以上三倍以下的树木。</w:t>
            </w:r>
          </w:p>
          <w:p>
            <w:pPr>
              <w:widowControl/>
              <w:adjustRightInd w:val="0"/>
              <w:snapToGrid w:val="0"/>
              <w:rPr>
                <w:rFonts w:ascii="仿宋_GB2312" w:eastAsia="仿宋_GB2312"/>
                <w:kern w:val="0"/>
                <w:sz w:val="21"/>
                <w:szCs w:val="21"/>
              </w:rPr>
            </w:pPr>
            <w:r>
              <w:rPr>
                <w:rFonts w:hint="eastAsia" w:ascii="仿宋_GB2312" w:hAnsi="仿宋_GB2312" w:eastAsia="仿宋_GB2312" w:cs="仿宋_GB2312"/>
                <w:kern w:val="0"/>
                <w:sz w:val="21"/>
                <w:szCs w:val="21"/>
              </w:rPr>
              <w:t>【行政法规】《中华人民共和国森林法实施条例》第四十一条第一款 违反本条例规定，毁林采种或者违反操作技术规程采脂、挖笋、掘根、剥树皮及过度修枝，致使森林、林木受到毁坏的，依法赔偿损失，由县级以上人民政府林业主管部门责令停止违法行为，补种毁坏株数１倍至３倍的树木，可以处毁坏林木价值１倍至５倍的罚款；拒不补种树木或者补种不符合国家有关规定的，由县级以上人民政府林业主管部门组织代为补种，所需费用由违法者支付。</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eastAsia="仿宋_GB2312"/>
                <w:kern w:val="0"/>
                <w:sz w:val="20"/>
                <w:szCs w:val="20"/>
              </w:rPr>
            </w:pPr>
            <w:r>
              <w:rPr>
                <w:rFonts w:hint="eastAsia" w:ascii="仿宋_GB2312" w:eastAsia="仿宋_GB2312"/>
                <w:kern w:val="0"/>
                <w:sz w:val="20"/>
                <w:szCs w:val="20"/>
              </w:rPr>
              <w:t>县级林业行政主管部门</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eastAsia="仿宋_GB2312"/>
                <w:kern w:val="0"/>
                <w:sz w:val="20"/>
                <w:szCs w:val="20"/>
              </w:rPr>
            </w:pPr>
            <w:r>
              <w:rPr>
                <w:rFonts w:hint="eastAsia" w:ascii="仿宋_GB2312" w:eastAsia="仿宋_GB2312"/>
                <w:kern w:val="0"/>
                <w:sz w:val="20"/>
                <w:szCs w:val="20"/>
              </w:rPr>
              <w:t>乡镇人民政府（街道办事处）</w:t>
            </w:r>
          </w:p>
        </w:tc>
        <w:tc>
          <w:tcPr>
            <w:tcW w:w="7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eastAsia="仿宋_GB2312"/>
                <w:kern w:val="0"/>
                <w:sz w:val="20"/>
                <w:szCs w:val="20"/>
              </w:rPr>
            </w:pPr>
            <w:r>
              <w:rPr>
                <w:rFonts w:hint="eastAsia" w:ascii="仿宋_GB2312" w:eastAsia="仿宋_GB2312"/>
                <w:kern w:val="0"/>
                <w:sz w:val="20"/>
                <w:szCs w:val="20"/>
              </w:rPr>
              <w:t>县级人民政府</w:t>
            </w:r>
          </w:p>
        </w:tc>
        <w:tc>
          <w:tcPr>
            <w:tcW w:w="5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kern w:val="0"/>
                <w:sz w:val="20"/>
                <w:szCs w:val="20"/>
              </w:rPr>
            </w:pPr>
            <w:r>
              <w:rPr>
                <w:rFonts w:hint="eastAsia" w:ascii="仿宋_GB2312" w:eastAsia="仿宋_GB2312"/>
                <w:kern w:val="0"/>
                <w:sz w:val="20"/>
                <w:szCs w:val="20"/>
                <w:lang w:eastAsia="zh-CN"/>
              </w:rPr>
              <w:t>各乡镇农业农村服务中心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459" w:hRule="atLeast"/>
        </w:trPr>
        <w:tc>
          <w:tcPr>
            <w:tcW w:w="4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eastAsia="仿宋_GB2312"/>
                <w:kern w:val="0"/>
                <w:sz w:val="20"/>
                <w:szCs w:val="20"/>
                <w:lang w:val="en-US" w:eastAsia="zh-CN"/>
              </w:rPr>
            </w:pPr>
            <w:r>
              <w:rPr>
                <w:rFonts w:hint="eastAsia" w:ascii="仿宋_GB2312" w:eastAsia="仿宋_GB2312"/>
                <w:kern w:val="0"/>
                <w:sz w:val="20"/>
                <w:szCs w:val="20"/>
                <w:lang w:val="en-US" w:eastAsia="zh-CN"/>
              </w:rPr>
              <w:t>3</w:t>
            </w:r>
          </w:p>
        </w:tc>
        <w:tc>
          <w:tcPr>
            <w:tcW w:w="9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kern w:val="0"/>
                <w:sz w:val="20"/>
                <w:szCs w:val="20"/>
              </w:rPr>
            </w:pPr>
            <w:r>
              <w:rPr>
                <w:rFonts w:hint="eastAsia" w:ascii="仿宋_GB2312" w:eastAsia="仿宋_GB2312"/>
                <w:kern w:val="0"/>
                <w:sz w:val="20"/>
                <w:szCs w:val="20"/>
              </w:rPr>
              <w:t>林业行政主管部门</w:t>
            </w:r>
          </w:p>
        </w:tc>
        <w:tc>
          <w:tcPr>
            <w:tcW w:w="4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kern w:val="0"/>
                <w:sz w:val="20"/>
                <w:szCs w:val="20"/>
              </w:rPr>
            </w:pPr>
            <w:r>
              <w:rPr>
                <w:rFonts w:hint="eastAsia" w:ascii="仿宋_GB2312" w:eastAsia="仿宋_GB2312"/>
                <w:kern w:val="0"/>
                <w:sz w:val="20"/>
                <w:szCs w:val="20"/>
              </w:rPr>
              <w:t>行政许可</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eastAsia="仿宋_GB2312"/>
                <w:kern w:val="0"/>
                <w:sz w:val="20"/>
                <w:szCs w:val="20"/>
              </w:rPr>
            </w:pPr>
            <w:r>
              <w:rPr>
                <w:rFonts w:hint="eastAsia" w:ascii="仿宋_GB2312" w:eastAsia="仿宋_GB2312"/>
                <w:kern w:val="0"/>
                <w:sz w:val="20"/>
                <w:szCs w:val="20"/>
              </w:rPr>
              <w:t>林木采伐许可证核发</w:t>
            </w:r>
          </w:p>
        </w:tc>
        <w:tc>
          <w:tcPr>
            <w:tcW w:w="6979" w:type="dxa"/>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30" w:lineRule="atLeast"/>
              <w:ind w:left="0" w:right="0" w:firstLine="525"/>
              <w:jc w:val="left"/>
              <w:rPr>
                <w:rFonts w:hint="eastAsia" w:ascii="仿宋_GB2312" w:hAnsi="仿宋_GB2312" w:eastAsia="仿宋_GB2312" w:cs="仿宋_GB2312"/>
                <w:i w:val="0"/>
                <w:caps w:val="0"/>
                <w:color w:val="333333"/>
                <w:spacing w:val="0"/>
                <w:sz w:val="21"/>
                <w:szCs w:val="21"/>
              </w:rPr>
            </w:pPr>
            <w:r>
              <w:rPr>
                <w:rFonts w:hint="eastAsia" w:ascii="仿宋_GB2312" w:eastAsia="仿宋_GB2312"/>
                <w:kern w:val="0"/>
                <w:sz w:val="21"/>
                <w:szCs w:val="21"/>
              </w:rPr>
              <w:t>【法律】</w:t>
            </w:r>
            <w:r>
              <w:rPr>
                <w:rFonts w:hint="eastAsia" w:ascii="仿宋_GB2312" w:hAnsi="仿宋_GB2312" w:eastAsia="仿宋_GB2312" w:cs="仿宋_GB2312"/>
                <w:i w:val="0"/>
                <w:caps w:val="0"/>
                <w:color w:val="000000"/>
                <w:spacing w:val="0"/>
                <w:kern w:val="0"/>
                <w:sz w:val="21"/>
                <w:szCs w:val="21"/>
                <w:shd w:val="clear" w:fill="FFFFFF"/>
                <w:lang w:val="en-US" w:eastAsia="zh-CN" w:bidi="ar"/>
              </w:rPr>
              <w:t>第五十七条第三款 农村居民采伐自留山和个人承包集体林地上的林木，由县级人民政府林业主管部门或者其委托的乡镇人民政府核发采伐许可证。</w:t>
            </w:r>
          </w:p>
          <w:p>
            <w:pPr>
              <w:widowControl/>
              <w:adjustRightInd w:val="0"/>
              <w:snapToGrid w:val="0"/>
              <w:rPr>
                <w:rFonts w:ascii="仿宋_GB2312" w:eastAsia="仿宋_GB2312"/>
                <w:kern w:val="0"/>
                <w:sz w:val="21"/>
                <w:szCs w:val="21"/>
              </w:rPr>
            </w:pPr>
          </w:p>
          <w:p>
            <w:pPr>
              <w:widowControl/>
              <w:adjustRightInd w:val="0"/>
              <w:snapToGrid w:val="0"/>
              <w:rPr>
                <w:rFonts w:ascii="仿宋_GB2312" w:eastAsia="仿宋_GB2312"/>
                <w:kern w:val="0"/>
                <w:sz w:val="21"/>
                <w:szCs w:val="21"/>
              </w:rPr>
            </w:pPr>
            <w:r>
              <w:rPr>
                <w:rFonts w:hint="eastAsia" w:ascii="仿宋_GB2312" w:eastAsia="仿宋_GB2312"/>
                <w:kern w:val="0"/>
                <w:sz w:val="21"/>
                <w:szCs w:val="21"/>
              </w:rPr>
              <w:t xml:space="preserve">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eastAsia="仿宋_GB2312"/>
                <w:kern w:val="0"/>
                <w:sz w:val="20"/>
                <w:szCs w:val="20"/>
              </w:rPr>
            </w:pPr>
            <w:r>
              <w:rPr>
                <w:rFonts w:hint="eastAsia" w:ascii="仿宋_GB2312" w:eastAsia="仿宋_GB2312"/>
                <w:kern w:val="0"/>
                <w:sz w:val="20"/>
                <w:szCs w:val="20"/>
              </w:rPr>
              <w:t>县级林业行政主管部门</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eastAsia="仿宋_GB2312"/>
                <w:kern w:val="0"/>
                <w:sz w:val="20"/>
                <w:szCs w:val="20"/>
              </w:rPr>
            </w:pPr>
            <w:r>
              <w:rPr>
                <w:rFonts w:hint="eastAsia" w:ascii="仿宋_GB2312" w:eastAsia="仿宋_GB2312"/>
                <w:kern w:val="0"/>
                <w:sz w:val="20"/>
                <w:szCs w:val="20"/>
              </w:rPr>
              <w:t>乡镇人民政府（街道办事处）</w:t>
            </w:r>
          </w:p>
        </w:tc>
        <w:tc>
          <w:tcPr>
            <w:tcW w:w="7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eastAsia="仿宋_GB2312"/>
                <w:kern w:val="0"/>
                <w:sz w:val="20"/>
                <w:szCs w:val="20"/>
              </w:rPr>
            </w:pPr>
            <w:r>
              <w:rPr>
                <w:rFonts w:hint="eastAsia" w:ascii="仿宋_GB2312" w:eastAsia="仿宋_GB2312"/>
                <w:kern w:val="0"/>
                <w:sz w:val="20"/>
                <w:szCs w:val="20"/>
              </w:rPr>
              <w:t>县级人民政府</w:t>
            </w:r>
          </w:p>
        </w:tc>
        <w:tc>
          <w:tcPr>
            <w:tcW w:w="5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kern w:val="0"/>
                <w:sz w:val="20"/>
                <w:szCs w:val="20"/>
              </w:rPr>
            </w:pPr>
            <w:r>
              <w:rPr>
                <w:rFonts w:hint="eastAsia" w:ascii="仿宋_GB2312" w:eastAsia="仿宋_GB2312"/>
                <w:kern w:val="0"/>
                <w:sz w:val="20"/>
                <w:szCs w:val="20"/>
                <w:lang w:eastAsia="zh-CN"/>
              </w:rPr>
              <w:t>各乡镇农业农村、</w:t>
            </w:r>
            <w:r>
              <w:rPr>
                <w:rFonts w:hint="eastAsia" w:ascii="仿宋_GB2312" w:eastAsia="仿宋_GB2312"/>
                <w:kern w:val="0"/>
                <w:sz w:val="20"/>
                <w:szCs w:val="20"/>
                <w:lang w:val="en-US" w:eastAsia="zh-CN"/>
              </w:rPr>
              <w:t>政务</w:t>
            </w:r>
            <w:r>
              <w:rPr>
                <w:rFonts w:hint="eastAsia" w:ascii="仿宋_GB2312" w:eastAsia="仿宋_GB2312"/>
                <w:kern w:val="0"/>
                <w:sz w:val="20"/>
                <w:szCs w:val="20"/>
                <w:lang w:eastAsia="zh-CN"/>
              </w:rPr>
              <w:t>服务中心</w:t>
            </w:r>
          </w:p>
        </w:tc>
      </w:tr>
    </w:tbl>
    <w:p>
      <w:pPr>
        <w:adjustRightInd w:val="0"/>
        <w:snapToGrid w:val="0"/>
        <w:spacing w:line="360" w:lineRule="exact"/>
        <w:rPr>
          <w:rFonts w:eastAsia="仿宋_GB2312"/>
          <w:snapToGrid w:val="0"/>
        </w:rPr>
      </w:pPr>
    </w:p>
    <w:p/>
    <w:sectPr>
      <w:pgSz w:w="16838" w:h="11906" w:orient="landscape"/>
      <w:pgMar w:top="1519"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方正小标宋简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A749D"/>
    <w:rsid w:val="2F294603"/>
    <w:rsid w:val="3CE07F8D"/>
    <w:rsid w:val="47842CE0"/>
    <w:rsid w:val="4BC62416"/>
    <w:rsid w:val="538A749D"/>
    <w:rsid w:val="607F2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2021-03-23T08:19:00Z</dcterms:created>
  <dc:creator>心灵之约</dc:creator>
  <cp:lastModifiedBy>*珊瑚海*</cp:lastModifiedBy>
  <cp:lastPrinted>2021-03-24T00:12:00Z</cp:lastPrinted>
  <dcterms:modified xsi:type="dcterms:W3CDTF">2021-03-26T02:45:44Z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