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bCs/>
          <w:color w:val="000000"/>
          <w:kern w:val="21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kern w:val="21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jc w:val="center"/>
        <w:rPr>
          <w:rFonts w:hint="eastAsia" w:ascii="方正黑体_GBK" w:hAnsi="方正黑体_GBK" w:eastAsia="方正黑体_GBK" w:cs="方正黑体_GBK"/>
          <w:bCs/>
          <w:color w:val="000000"/>
          <w:kern w:val="21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21"/>
          <w:sz w:val="44"/>
          <w:szCs w:val="44"/>
        </w:rPr>
        <w:t>全国统一式样《通行证》</w:t>
      </w:r>
    </w:p>
    <w:p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1" w:beforeLines="50" w:after="161" w:afterLines="50"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kern w:val="21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 w:cs="方正仿宋_GBK"/>
          <w:color w:val="000000"/>
          <w:kern w:val="21"/>
          <w:sz w:val="32"/>
          <w:szCs w:val="32"/>
        </w:rPr>
        <w:drawing>
          <wp:inline distT="0" distB="0" distL="114300" distR="114300">
            <wp:extent cx="4729480" cy="609981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609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pacing w:val="0"/>
          <w:kern w:val="21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984" w:right="1417" w:bottom="1701" w:left="1417" w:header="851" w:footer="1247" w:gutter="0"/>
          <w:cols w:space="720" w:num="1"/>
          <w:titlePg/>
          <w:rtlGutter w:val="0"/>
          <w:docGrid w:type="lines" w:linePitch="319" w:charSpace="0"/>
        </w:sectPr>
      </w:pP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证件编号规则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</w:rPr>
        <w:t>：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证件编号共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12位数字，由行政区划代码（6位）+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</w:rPr>
        <w:t>行业部门编号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1位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+序列号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" w:eastAsia="zh-CN"/>
        </w:rPr>
        <w:t>（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5位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" w:eastAsia="zh-CN"/>
        </w:rPr>
        <w:t>）。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</w:rPr>
        <w:t>行业部门编号为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</w:rPr>
        <w:t>发展改革部门为1，工业和信息化部门为2，公安部门为3，交通运输部门为4，农业农村部门为5，商务部门为6，卫生健康部门为7，应急管理部门为8，市场监管部门为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</w:rPr>
        <w:t>，邮政管理部门为0，其他行业主管部门为X。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如：自治区发展改革部门证件起始编号为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450000100001</w:t>
      </w:r>
      <w:r>
        <w:rPr>
          <w:rFonts w:hint="default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"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南宁市发展改革部门证件起始编号为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450100100001</w:t>
      </w:r>
      <w:r>
        <w:rPr>
          <w:rFonts w:hint="default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" w:eastAsia="zh-CN"/>
        </w:rPr>
        <w:t>，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南宁市兴宁区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eastAsia="zh-CN"/>
        </w:rPr>
        <w:t>发展改革部门证件起始编号为</w:t>
      </w:r>
      <w:r>
        <w:rPr>
          <w:rFonts w:hint="eastAsia" w:ascii="Times New Roman" w:hAnsi="Times New Roman" w:eastAsia="方正仿宋_GBK" w:cs="方正仿宋_GBK"/>
          <w:bCs/>
          <w:color w:val="000000"/>
          <w:kern w:val="21"/>
          <w:sz w:val="24"/>
          <w:szCs w:val="24"/>
          <w:lang w:val="en-US" w:eastAsia="zh-CN"/>
        </w:rPr>
        <w:t>450102100001。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Times New Roman" w:hAnsi="Times New Roman" w:cs="Times New Roman"/>
        <w:sz w:val="32"/>
        <w:szCs w:val="32"/>
      </w:rPr>
    </w:pPr>
    <w:r>
      <w:rPr>
        <w:rFonts w:hint="default" w:ascii="Times New Roman" w:hAnsi="Times New Roman" w:cs="Times New Roman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153"/>
        <w:tab w:val="right" w:pos="8306"/>
      </w:tabs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1365F"/>
    <w:rsid w:val="4F91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styleId="4">
    <w:name w:val="header"/>
    <w:basedOn w:val="1"/>
    <w:qFormat/>
    <w:uiPriority w:val="0"/>
    <w:pPr>
      <w:tabs>
        <w:tab w:val="center" w:pos="4140"/>
        <w:tab w:val="right" w:pos="8300"/>
      </w:tabs>
      <w:snapToGrid w:val="0"/>
      <w:spacing w:after="0"/>
      <w:jc w:val="both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character" w:customStyle="1" w:styleId="7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2022-04-24T03:18:00Z</dcterms:created>
  <dc:creator>Shmilycm</dc:creator>
  <cp:lastModifiedBy>Shmilycm</cp:lastModifiedBy>
  <dcterms:modified xsi:type="dcterms:W3CDTF">2022-04-24T03:19:00Z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F5A7910B01484E81B167FC0CA9F65070</vt:lpwstr>
  </property>
</Properties>
</file>